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9.png" ContentType="image/png"/>
  <Override PartName="/word/media/rId38.png" ContentType="image/png"/>
  <Override PartName="/word/media/rId32.png" ContentType="image/png"/>
  <Override PartName="/word/media/rId26.png" ContentType="image/png"/>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Christy Rollinson</w:t>
      </w:r>
      <w:r>
        <w:rPr>
          <w:vertAlign w:val="superscript"/>
        </w:rPr>
        <w:t xml:space="preserve">#</w:t>
      </w:r>
    </w:p>
    <w:p>
      <w:pPr>
        <w:pStyle w:val="BodyText"/>
      </w:pPr>
      <w:r>
        <w:t xml:space="preserve">Erika B. Gonzalez-Akre</w:t>
      </w:r>
      <w:r>
        <w:rPr>
          <w:vertAlign w:val="superscript"/>
        </w:rPr>
        <w:t xml:space="preserve">1</w:t>
      </w:r>
    </w:p>
    <w:p>
      <w:pPr>
        <w:pStyle w:val="BodyText"/>
      </w:pPr>
      <w:r>
        <w:t xml:space="preserve">Bianca Gonzalez</w:t>
      </w:r>
      <w:r>
        <w:rPr>
          <w:vertAlign w:val="superscript"/>
        </w:rPr>
        <w:t xml:space="preserve">1</w:t>
      </w:r>
    </w:p>
    <w:p>
      <w:pPr>
        <w:pStyle w:val="BodyText"/>
      </w:pPr>
      <w:r>
        <w:t xml:space="preserve">Neil Pederson</w:t>
      </w:r>
      <w:r>
        <w:rPr>
          <w:vertAlign w:val="superscript"/>
        </w:rPr>
        <w:t xml:space="preserve">#</w:t>
      </w:r>
    </w:p>
    <w:p>
      <w:pPr>
        <w:pStyle w:val="BodyText"/>
      </w:pPr>
      <w:r>
        <w:t xml:space="preserve">Ross Alexander</w:t>
      </w:r>
      <w:r>
        <w:rPr>
          <w:vertAlign w:val="superscript"/>
        </w:rPr>
        <w:t xml:space="preserve">#</w:t>
      </w:r>
    </w:p>
    <w:p>
      <w:pPr>
        <w:pStyle w:val="BodyText"/>
      </w:pPr>
      <w:r>
        <w:t xml:space="preserve">Camille Piponiot</w:t>
      </w:r>
      <w:r>
        <w:rPr>
          <w:vertAlign w:val="superscript"/>
        </w:rPr>
        <w:t xml:space="preserve">1,2</w:t>
      </w:r>
    </w:p>
    <w:p>
      <w:pPr>
        <w:pStyle w:val="BodyText"/>
      </w:pPr>
      <w:r>
        <w:t xml:space="preserve">[all other contributers (see spreadsheet) in alphabetical order, including:]</w:t>
      </w:r>
    </w:p>
    <w:p>
      <w:pPr>
        <w:pStyle w:val="BodyText"/>
      </w:pPr>
      <w:r>
        <w:t xml:space="preserve">Ryan Helcoski</w:t>
      </w:r>
      <w:r>
        <w:rPr>
          <w:vertAlign w:val="superscript"/>
        </w:rPr>
        <w:t xml:space="preserve">1</w:t>
      </w:r>
    </w:p>
    <w:p>
      <w:pPr>
        <w:pStyle w:val="BodyText"/>
      </w:pPr>
      <w:r>
        <w:t xml:space="preserve">Alan J. Tepley</w:t>
      </w:r>
      <w:r>
        <w:rPr>
          <w:vertAlign w:val="superscript"/>
        </w:rPr>
        <w:t xml:space="preserve">1,#</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1">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pPr>
        <w:pStyle w:val="Heading3"/>
      </w:pPr>
      <w:bookmarkStart w:id="22" w:name="abstract"/>
      <w:bookmarkEnd w:id="22"/>
      <w:r>
        <w:t xml:space="preserve">Abstract</w:t>
      </w:r>
    </w:p>
    <w:p>
      <w:pPr>
        <w:pStyle w:val="FirstParagraph"/>
      </w:pPr>
      <w:r>
        <w:rPr>
          <w:b/>
        </w:rPr>
        <w:t xml:space="preserve">Keywords</w:t>
      </w:r>
      <w:r>
        <w:t xml:space="preserve">:</w:t>
      </w:r>
    </w:p>
    <w:p>
      <w:pPr>
        <w:pStyle w:val="Heading3"/>
      </w:pPr>
      <w:bookmarkStart w:id="23" w:name="introduction"/>
      <w:bookmarkEnd w:id="23"/>
      <w:r>
        <w:t xml:space="preserve">Introduction</w:t>
      </w:r>
    </w:p>
    <w:p>
      <w:pPr>
        <w:pStyle w:val="FirstParagraph"/>
      </w:pPr>
      <w:r>
        <w:rPr>
          <w:b/>
        </w:rPr>
        <w:t xml:space="preserve">Tree rings provide a valuable record of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r>
        <w:t xml:space="preserve"> </w:t>
      </w:r>
      <w:r>
        <w:t xml:space="preserve">Traditional methods seek to remove the ecology. That’s what’s of interest to us.</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are often presented at this time scale. While useful for characterizing how monthly climate influences annual tree growth, month is an arbitrary unit of time and this approach does not necessarily identify the most influential time windows –often several months–over which climate shapes tree growth. (</w:t>
      </w:r>
      <w:r>
        <w:rPr>
          <w:i/>
        </w:rPr>
        <w:t xml:space="preserve">note that we use the monthly time step here–don’t set monthly resolution up as a problem we’ll solve</w:t>
      </w:r>
      <w:r>
        <w:t xml:space="preserve">)]</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 and we therefore know little about what, if any, nonlinearities occur in tree growth responses to interannual variation in climate.</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(Muller-Landau et al. 2006; Foster et al. 2016;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 Muller-Landau et al. 2006;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 (</w:t>
      </w:r>
      <w:r>
        <w:rPr>
          <w:i/>
        </w:rPr>
        <w:t xml:space="preserve">sensu</w:t>
      </w:r>
      <w:r>
        <w:t xml:space="preserve"> </w:t>
      </w:r>
      <w:r>
        <w:t xml:space="preserve">Charney) 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(Bennett et al. 2015;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Characterizing the influence of slowly-changing environtmental drivers is very challenging and uncertain.</w:t>
      </w:r>
      <w:r>
        <w:t xml:space="preserve"> </w:t>
      </w:r>
      <w:r>
        <w:t xml:space="preserve">We want to know how changes in CO2 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None of these methods is fully satisfactory; 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develop a new method that allows simultaneous consideration of the effects of tree size, objectively determined principle climate drivers, and other environemntal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 radial growth and aboveground biomass increments (</w:t>
      </w:r>
      <m:oMath>
        <m:r>
          <m:t>Δ</m:t>
        </m:r>
        <m:r>
          <m:t>A</m:t>
        </m:r>
        <m:r>
          <m:t>G</m:t>
        </m:r>
        <m:r>
          <m:t>B</m:t>
        </m:r>
      </m:oMath>
      <w:r>
        <w:t xml:space="preserve">) vary with DBH?</w:t>
      </w:r>
      <w:r>
        <w:t xml:space="preserve"> </w:t>
      </w:r>
      <w:r>
        <w:t xml:space="preserve">(4) Are there interactions between DBH and climate drivers common?</w:t>
      </w:r>
      <w:r>
        <w:t xml:space="preserve"> </w:t>
      </w:r>
      <w:r>
        <w:t xml:space="preserve">(5) How is growth simultaneously influenced by DBH, climate, and other environemental drivers (CO2, atmospheric deposition)?</w:t>
      </w:r>
    </w:p>
    <w:p>
      <w:pPr>
        <w:pStyle w:val="Heading3"/>
      </w:pPr>
      <w:bookmarkStart w:id="24" w:name="materials-and-methods"/>
      <w:bookmarkEnd w:id="24"/>
      <w:r>
        <w:t xml:space="preserve">Materials and Methods</w:t>
      </w:r>
    </w:p>
    <w:p>
      <w:pPr>
        <w:pStyle w:val="Heading4"/>
      </w:pPr>
      <w:bookmarkStart w:id="25" w:name="data-sources-and-preparation"/>
      <w:bookmarkEnd w:id="25"/>
      <w:r>
        <w:t xml:space="preserve">Data sources and preparation</w:t>
      </w:r>
    </w:p>
    <w:p>
      <w:pPr>
        <w:pStyle w:val="FirstParagraph"/>
      </w:pPr>
      <w:r>
        <w:t xml:space="preserve">We analyzed previously collected tree-ring data from # sites of the Forest Global Earth Observatory (ForestGEO; Anderson-Teixeira et al. 2015) 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(REFS).</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1248118"/>
            <wp:effectExtent b="0" l="0" r="0" t="0"/>
            <wp:docPr descr="" id="1" name="Picture"/>
            <a:graphic>
              <a:graphicData uri="http://schemas.openxmlformats.org/drawingml/2006/picture">
                <pic:pic>
                  <pic:nvPicPr>
                    <pic:cNvPr descr="tables_figures/sites_table.png" id="0" name="Picture"/>
                    <pic:cNvPicPr>
                      <a:picLocks noChangeArrowheads="1" noChangeAspect="1"/>
                    </pic:cNvPicPr>
                  </pic:nvPicPr>
                  <pic:blipFill>
                    <a:blip r:embed="rId26"/>
                    <a:stretch>
                      <a:fillRect/>
                    </a:stretch>
                  </pic:blipFill>
                  <pic:spPr bwMode="auto">
                    <a:xfrm>
                      <a:off x="0" y="0"/>
                      <a:ext cx="5334000" cy="1248118"/>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 (</w:t>
      </w:r>
      <w:hyperlink r:id="rId27">
        <w:r>
          <w:rPr>
            <w:rStyle w:val="Hyperlink"/>
          </w:rPr>
          <w:t xml:space="preserve">Caillerete et al. 2017</w:t>
        </w:r>
      </w:hyperlink>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 (DENDORO_REF),</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v.4.0X (Harris et al. 2014,</w:t>
      </w:r>
      <w:r>
        <w:t xml:space="preserve"> </w:t>
      </w:r>
      <w:hyperlink r:id="rId28">
        <w:r>
          <w:rPr>
            <w:rStyle w:val="Hyperlink"/>
          </w:rPr>
          <w:t xml:space="preserve">2020</w:t>
        </w:r>
      </w:hyperlink>
      <w:r>
        <w:t xml:space="preserve">). Variables considered here included mean, minimum, and maximum temperatures; daily temperture range; precipitation; wet day frequency; cloud cover; and potential evapotranspiration (PET). Atmospheric CO</w:t>
      </w:r>
      <w:r>
        <w:rPr>
          <w:vertAlign w:val="subscript"/>
        </w:rPr>
        <w:t xml:space="preserve">2</w:t>
      </w:r>
      <w:r>
        <w:t xml:space="preserve">… (</w:t>
      </w:r>
      <w:hyperlink r:id="rId29">
        <w:r>
          <w:rPr>
            <w:rStyle w:val="Hyperlink"/>
            <w:b/>
          </w:rPr>
          <w:t xml:space="preserve">ISSUE #16 in ForestGEO_dendro</w:t>
        </w:r>
      </w:hyperlink>
      <w:r>
        <w:rPr>
          <w:b/>
        </w:rPr>
        <w:t xml:space="preserve">: obtain data</w:t>
      </w:r>
      <w:r>
        <w:t xml:space="preserve">). Atmospheric deposition… (</w:t>
      </w:r>
      <w:hyperlink r:id="rId30">
        <w:r>
          <w:rPr>
            <w:rStyle w:val="Hyperlink"/>
            <w:b/>
          </w:rPr>
          <w:t xml:space="preserve">ISSUE #17 in ForestGEO_dendro</w:t>
        </w:r>
      </w:hyperlink>
      <w:r>
        <w:rPr>
          <w:b/>
        </w:rPr>
        <w:t xml:space="preserve">: obtain data</w:t>
      </w:r>
      <w:r>
        <w:t xml:space="preserve">). Analyses were, necessarily, limited ot the time frame over which these were available.</w:t>
      </w:r>
    </w:p>
    <w:p>
      <w:pPr>
        <w:pStyle w:val="Heading4"/>
      </w:pPr>
      <w:bookmarkStart w:id="31" w:name="analysis-methods"/>
      <w:bookmarkEnd w:id="31"/>
      <w:r>
        <w:t xml:space="preserve">Analysis methods</w:t>
      </w:r>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 The analysis was run separately for each site.</w:t>
      </w:r>
    </w:p>
    <w:p>
      <w:pPr>
        <w:pStyle w:val="FigureWithCaption"/>
      </w:pPr>
      <w:r>
        <w:drawing>
          <wp:inline>
            <wp:extent cx="5334000" cy="3591344"/>
            <wp:effectExtent b="0" l="0" r="0" t="0"/>
            <wp:docPr descr="Figure 1 | Schematic illustrating our analysis process. This analysis is conducted separately for each site. DRAFT"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2"/>
                    <a:stretch>
                      <a:fillRect/>
                    </a:stretch>
                  </pic:blipFill>
                  <pic:spPr bwMode="auto">
                    <a:xfrm>
                      <a:off x="0" y="0"/>
                      <a:ext cx="5334000" cy="3591344"/>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This analysis is conducted separately for each site. DRAFT</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 (Harris et al. 2014,</w:t>
      </w:r>
      <w:r>
        <w:t xml:space="preserve"> </w:t>
      </w:r>
      <w:hyperlink r:id="rId28">
        <w:r>
          <w:rPr>
            <w:rStyle w:val="Hyperlink"/>
          </w:rPr>
          <w:t xml:space="preserve">2020</w:t>
        </w:r>
      </w:hyperlink>
      <w:r>
        <w:t xml:space="preserve">), as well as climatological and biological considerations.</w:t>
      </w:r>
      <w:r>
        <w:t xml:space="preserve"> </w:t>
      </w:r>
      <w:r>
        <w:t xml:space="preserve">Our first step was detrending to remove the influence of all non-climatic drivers (</w:t>
      </w:r>
      <w:r>
        <w:rPr>
          <w:i/>
        </w:rPr>
        <w:t xml:space="preserve">e.g.</w:t>
      </w:r>
      <w:r>
        <w:t xml:space="preserve">, growth and aging of the tree, change in competitive dynamics, atmospheric pollution),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 </w:t>
      </w:r>
      <w:r>
        <w:t xml:space="preserve">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hyperlink r:id="rId33">
        <w:r>
          <w:rPr>
            <w:rStyle w:val="Hyperlink"/>
          </w:rPr>
          <w:t xml:space="preserve">(van de Pol et. al. 2016)</w:t>
        </w:r>
      </w:hyperlink>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 </w:t>
      </w:r>
      <w:r>
        <w:t xml:space="preserve">or</w:t>
      </w:r>
      <w:r>
        <w:t xml:space="preserve"> </w:t>
      </w:r>
      <m:oMath>
        <m:r>
          <m:t>l</m:t>
        </m:r>
        <m:r>
          <m:t>o</m:t>
        </m:r>
        <m:r>
          <m:t>g</m:t>
        </m:r>
        <m:r>
          <m:t>[</m:t>
        </m:r>
        <m:r>
          <m:t>Δ</m:t>
        </m:r>
        <m:r>
          <m:t>A</m:t>
        </m:r>
        <m:r>
          <m:t>G</m:t>
        </m:r>
        <m:r>
          <m:t>B</m:t>
        </m:r>
        <m:r>
          <m:t>]</m:t>
        </m:r>
      </m:oMath>
      <w:r>
        <w:t xml:space="preserve">.</w:t>
      </w:r>
      <w:r>
        <w:t xml:space="preserve"> </w:t>
      </w:r>
      <w:r>
        <w:t xml:space="preserve">Within</w:t>
      </w:r>
      <w:r>
        <w:t xml:space="preserve"> </w:t>
      </w:r>
      <w:r>
        <w:rPr>
          <w:i/>
        </w:rPr>
        <w:t xml:space="preserve">climwin</w:t>
      </w:r>
      <w:r>
        <w:t xml:space="preserve">, we specified a mixed effects model using species and tree identity as random effect:</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and does k-fold cross-validation in its computation of AIC to guard against over-fitting (CLIMWIN_REF).</w:t>
      </w:r>
      <w:r>
        <w:t xml:space="preserve"> </w:t>
      </w:r>
      <w:r>
        <w:t xml:space="preserve">We specified quadratic relationships only because (i) quadratic relationships are more consistent with known biological mechanisms (see Introduction), (ii) preliminary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When PET came out as the best variable in both temperature and cloud cover groups, there were only two candidate variables for the GAM.</w:t>
      </w:r>
      <w:r>
        <w:t xml:space="preserve"> </w:t>
      </w:r>
      <w:r>
        <w:t xml:space="preserve">We checked for colinearity among the selected climate variables and removed any variable with a variance inflation factor &gt; 10.</w:t>
      </w:r>
    </w:p>
    <w:p>
      <w:pPr>
        <w:pStyle w:val="BodyText"/>
      </w:pPr>
      <w:r>
        <w:t xml:space="preserve">To check that this process identified similar climate variables to what would be identified using traditional methods, … (</w:t>
      </w:r>
      <w:hyperlink r:id="rId34">
        <w:r>
          <w:rPr>
            <w:rStyle w:val="Hyperlink"/>
            <w:b/>
          </w:rPr>
          <w:t xml:space="preserve">ISSUE #35 in ForestGEO-climate-sensitivity</w:t>
        </w:r>
      </w:hyperlink>
      <w:r>
        <w:rPr>
          <w:b/>
        </w:rPr>
        <w:t xml:space="preserve">: do a standardized analysis similar to Helcoski et al. for each site? or just compare with previous studies for each site?</w:t>
      </w:r>
      <w:r>
        <w:t xml:space="preserve">)</w:t>
      </w:r>
      <w:r>
        <w:t xml:space="preserve"> </w:t>
      </w:r>
      <w:r>
        <w:t xml:space="preserve">(</w:t>
      </w:r>
      <w:hyperlink r:id="rId35">
        <w:r>
          <w:rPr>
            <w:rStyle w:val="Hyperlink"/>
            <w:b/>
          </w:rPr>
          <w:t xml:space="preserve">ISSUE #34 in ForestGEO-climate-sensitivity</w:t>
        </w:r>
      </w:hyperlink>
      <w:r>
        <w:rPr>
          <w:b/>
        </w:rPr>
        <w:t xml:space="preserve">: check that we get similar results with</w:t>
      </w:r>
      <w:r>
        <w:rPr>
          <w:b/>
        </w:rPr>
        <w:t xml:space="preserve"> </w:t>
      </w:r>
      <m:oMath>
        <m:r>
          <m:t>Δ</m:t>
        </m:r>
        <m:r>
          <m:t>r</m:t>
        </m:r>
      </m:oMath>
      <w:r>
        <w:rPr>
          <w:b/>
        </w:rPr>
        <w:t xml:space="preserve"> </w:t>
      </w:r>
      <w:r>
        <w:rPr>
          <w:b/>
        </w:rPr>
        <w:t xml:space="preserve">and</w:t>
      </w:r>
      <w:r>
        <w:rPr>
          <w:b/>
        </w:rPr>
        <w:t xml:space="preserve"> </w:t>
      </w:r>
      <m:oMath>
        <m:r>
          <m:t>Δ</m:t>
        </m:r>
        <m:r>
          <m:t>A</m:t>
        </m:r>
        <m:r>
          <m:t>G</m:t>
        </m:r>
        <m:r>
          <m:t>B</m:t>
        </m:r>
      </m:oMath>
      <w:r>
        <w:t xml:space="preserve">)</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
            </m:r>
          </m:e>
          <m:sup>
            <m:r>
              <m:t>∘</m:t>
            </m:r>
          </m:sup>
        </m:sSup>
      </m:oMath>
      <w:r>
        <w:t xml:space="preserve"> </w:t>
      </w:r>
      <w:r>
        <w:t xml:space="preserve">over X years]…, resulting in negative growth trends in basal area index (BAI) starting around 1950 and significant growth declines since 1970 in 56% of trees (Sniderhan &amp; Baltzer 2016).</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hyperlink r:id="rId36">
        <w:r>
          <w:rPr>
            <w:rStyle w:val="Hyperlink"/>
            <w:b/>
          </w:rPr>
          <w:t xml:space="preserve">ISSUE #25 in ForestGEO-climate-sensitivity</w:t>
        </w:r>
      </w:hyperlink>
      <w:r>
        <w:rPr>
          <w:b/>
        </w:rPr>
        <w:t xml:space="preserve">: How do we solve this? Any possibility besides subjectively selecting the drivers? Maybe try analysis without detrending</w:t>
      </w:r>
      <w:r>
        <w:t xml:space="preserve">)</w:t>
      </w:r>
    </w:p>
    <w:p>
      <w:pPr>
        <w:pStyle w:val="BodyText"/>
      </w:pPr>
      <w:r>
        <w:rPr>
          <w:i/>
        </w:rPr>
        <w:t xml:space="preserve">Combining drivers in GLS model</w:t>
      </w:r>
    </w:p>
    <w:p>
      <w:pPr>
        <w:pStyle w:val="BodyText"/>
      </w:pPr>
      <w:r>
        <w:t xml:space="preserve">Second, we combined DBH, climate, and atmospheric pollution data in a GLS.</w:t>
      </w:r>
    </w:p>
    <w:p>
      <w:pPr>
        <w:pStyle w:val="Heading3"/>
      </w:pPr>
      <w:bookmarkStart w:id="37" w:name="results"/>
      <w:bookmarkEnd w:id="37"/>
      <w:r>
        <w:t xml:space="preserve">Results</w:t>
      </w:r>
    </w:p>
    <w:p>
      <w:pPr>
        <w:pStyle w:val="FirstParagraph"/>
      </w:pPr>
      <w:r>
        <w:rPr>
          <w:i/>
        </w:rPr>
        <w:t xml:space="preserve">Identifying climate drivers</w:t>
      </w:r>
    </w:p>
    <w:p>
      <w:pPr>
        <w:pStyle w:val="BodyText"/>
      </w:pPr>
      <w:r>
        <w:rPr>
          <w:b/>
        </w:rPr>
        <w:t xml:space="preserve">Our process picked out similar climate drivers to what would be obtained via traditional methods (Fig. 3).</w:t>
      </w:r>
    </w:p>
    <w:p>
      <w:pPr>
        <w:pStyle w:val="FigureWithCaption"/>
      </w:pPr>
      <w:r>
        <w:drawing>
          <wp:inline>
            <wp:extent cx="5334000" cy="3003176"/>
            <wp:effectExtent b="0" l="0" r="0" t="0"/>
            <wp:docPr descr="Figure 2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8"/>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variabels were common (Fig. 4).</w:t>
      </w:r>
      <w:r>
        <w:t xml:space="preserve"> </w:t>
      </w:r>
      <w:r>
        <w:t xml:space="preserve">- Growth almost always increased with precipitation up to the long-term mean, but often declined under high precipitation.</w:t>
      </w:r>
      <w:r>
        <w:t xml:space="preserve"> </w:t>
      </w:r>
      <w:r>
        <w:t xml:space="preserve">- The most common response to temperture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FigureWithCaption"/>
      </w:pPr>
      <w:r>
        <w:drawing>
          <wp:inline>
            <wp:extent cx="5334000" cy="3685607"/>
            <wp:effectExtent b="0" l="0" r="0" t="0"/>
            <wp:docPr descr="Figure 3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39"/>
                    <a:stretch>
                      <a:fillRect/>
                    </a:stretch>
                  </pic:blipFill>
                  <pic:spPr bwMode="auto">
                    <a:xfrm>
                      <a:off x="0" y="0"/>
                      <a:ext cx="5334000" cy="3685607"/>
                    </a:xfrm>
                    <a:prstGeom prst="rect">
                      <a:avLst/>
                    </a:prstGeom>
                    <a:noFill/>
                    <a:ln w="9525">
                      <a:noFill/>
                      <a:headEnd/>
                      <a:tailEnd/>
                    </a:ln>
                  </pic:spPr>
                </pic:pic>
              </a:graphicData>
            </a:graphic>
          </wp:inline>
        </w:drawing>
      </w:r>
    </w:p>
    <w:p>
      <w:pPr>
        <w:pStyle w:val="ImageCaption"/>
      </w:pPr>
      <w:r>
        <w:rPr>
          <w:b/>
        </w:rPr>
        <w:t xml:space="preserve">Figure 3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Influence of DBH</w:t>
      </w:r>
    </w:p>
    <w:p>
      <w:pPr>
        <w:pStyle w:val="BodyText"/>
      </w:pPr>
      <w:r>
        <w:rPr>
          <w:b/>
        </w:rPr>
        <w:t xml:space="preserve">Both</w:t>
      </w:r>
      <w:r>
        <w:rPr>
          <w:b/>
        </w:rPr>
        <w:t xml:space="preserve"> </w:t>
      </w:r>
      <m:oMath>
        <m:r>
          <m:t>Δ</m:t>
        </m:r>
        <m:r>
          <m:t>r</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varied with</w:t>
      </w:r>
      <w:r>
        <w:rPr>
          <w:b/>
        </w:rPr>
        <w:t xml:space="preserve"> </w:t>
      </w:r>
      <m:oMath>
        <m:r>
          <m:t>D</m:t>
        </m:r>
        <m:r>
          <m:t>B</m:t>
        </m:r>
        <m:r>
          <m:t>H</m:t>
        </m:r>
      </m:oMath>
      <w:r>
        <w:rPr>
          <w:b/>
        </w:rPr>
        <w:t xml:space="preserve">.</w:t>
      </w:r>
      <w:r>
        <w:t xml:space="preserve"> </w:t>
      </w:r>
      <w:r>
        <w:t xml:space="preserve">For</w:t>
      </w:r>
      <w:r>
        <w:t xml:space="preserve"> </w:t>
      </w:r>
      <m:oMath>
        <m:r>
          <m:t>Δ</m:t>
        </m:r>
        <m:r>
          <m:t>r</m:t>
        </m:r>
      </m:oMath>
      <w:r>
        <w:t xml:space="preserve">, the general tendency was a decline with DBH, sometimes following an initial increase (Fig. 2a).</w:t>
      </w:r>
      <w:r>
        <w:t xml:space="preserve"> </w:t>
      </w:r>
      <m:oMath>
        <m:r>
          <m:t>Δ</m:t>
        </m:r>
        <m:r>
          <m:t>A</m:t>
        </m:r>
        <m:r>
          <m:t>G</m:t>
        </m:r>
        <m:r>
          <m:t>B</m:t>
        </m:r>
      </m:oMath>
      <w:r>
        <w:t xml:space="preserve"> </w:t>
      </w:r>
      <w:r>
        <w:t xml:space="preserve">generally increased with</w:t>
      </w:r>
      <w:r>
        <w:t xml:space="preserve"> </w:t>
      </w:r>
      <m:oMath>
        <m:r>
          <m:t>D</m:t>
        </m:r>
        <m:r>
          <m:t>B</m:t>
        </m:r>
        <m:r>
          <m:t>H</m:t>
        </m:r>
      </m:oMath>
      <w:r>
        <w:t xml:space="preserve">, although unimodal relationships were observed in some cases (Fig. 2b).</w:t>
      </w:r>
    </w:p>
    <w:p>
      <w:pPr>
        <w:pStyle w:val="FigureWithCaption"/>
      </w:pPr>
      <w:r>
        <w:drawing>
          <wp:inline>
            <wp:extent cx="5334000" cy="3569963"/>
            <wp:effectExtent b="0" l="0" r="0" t="0"/>
            <wp:docPr descr="Figure 4 | Growth sensitivity to DBH: (a) \Delta r, (b) \Delta AGB. THIS FIGURE IS JUST A SKETCH TO SHOW VALENTINE WHAT I HAVE IN MIND." id="1" name="Picture"/>
            <a:graphic>
              <a:graphicData uri="http://schemas.openxmlformats.org/drawingml/2006/picture">
                <pic:pic>
                  <pic:nvPicPr>
                    <pic:cNvPr descr="tables_figures/size_figure_sketch.png" id="0" name="Picture"/>
                    <pic:cNvPicPr>
                      <a:picLocks noChangeArrowheads="1" noChangeAspect="1"/>
                    </pic:cNvPicPr>
                  </pic:nvPicPr>
                  <pic:blipFill>
                    <a:blip r:embed="rId40"/>
                    <a:stretch>
                      <a:fillRect/>
                    </a:stretch>
                  </pic:blipFill>
                  <pic:spPr bwMode="auto">
                    <a:xfrm>
                      <a:off x="0" y="0"/>
                      <a:ext cx="5334000" cy="3569963"/>
                    </a:xfrm>
                    <a:prstGeom prst="rect">
                      <a:avLst/>
                    </a:prstGeom>
                    <a:noFill/>
                    <a:ln w="9525">
                      <a:noFill/>
                      <a:headEnd/>
                      <a:tailEnd/>
                    </a:ln>
                  </pic:spPr>
                </pic:pic>
              </a:graphicData>
            </a:graphic>
          </wp:inline>
        </w:drawing>
      </w:r>
    </w:p>
    <w:p>
      <w:pPr>
        <w:pStyle w:val="ImageCaption"/>
      </w:pPr>
      <w:r>
        <w:rPr>
          <w:b/>
        </w:rPr>
        <w:t xml:space="preserve">Figure 4 | Growth sensitivity to DBH:</w:t>
      </w:r>
      <w:r>
        <w:t xml:space="preserve"> </w:t>
      </w:r>
      <w:r>
        <w:t xml:space="preserve">(a)</w:t>
      </w:r>
      <w:r>
        <w:t xml:space="preserve"> </w:t>
      </w:r>
      <m:oMath>
        <m:r>
          <m:t>Δ</m:t>
        </m:r>
        <m:r>
          <m:t>r</m:t>
        </m:r>
      </m:oMath>
      <w:r>
        <w:t xml:space="preserve">, (b)</w:t>
      </w:r>
      <w:r>
        <w:t xml:space="preserve"> </w:t>
      </w:r>
      <m:oMath>
        <m:r>
          <m:t>Δ</m:t>
        </m:r>
        <m:r>
          <m:t>A</m:t>
        </m:r>
        <m:r>
          <m:t>G</m:t>
        </m:r>
        <m:r>
          <m:t>B</m:t>
        </m:r>
      </m:oMath>
      <w:r>
        <w:t xml:space="preserve">. THIS FIGURE IS JUST A SKETCH TO SHOW VALENTINE WHAT I HAVE IN MIND.</w:t>
      </w:r>
    </w:p>
    <w:p>
      <w:pPr>
        <w:pStyle w:val="BodyText"/>
      </w:pPr>
      <w:r>
        <w:rPr>
          <w:i/>
        </w:rPr>
        <w:t xml:space="preserve">Climate-DBH interactions</w:t>
      </w:r>
    </w:p>
    <w:p>
      <w:pPr>
        <w:pStyle w:val="BodyText"/>
      </w:pPr>
      <w:r>
        <w:rPr>
          <w:b/>
        </w:rPr>
        <w:t xml:space="preserve">Figure/ Table on climate - DBH interactions?</w:t>
      </w:r>
    </w:p>
    <w:p>
      <w:pPr>
        <w:pStyle w:val="BodyText"/>
      </w:pPr>
      <w:r>
        <w:rPr>
          <w:i/>
        </w:rPr>
        <w:t xml:space="preserve">Influence of atmospheric pollution</w:t>
      </w:r>
    </w:p>
    <w:p>
      <w:pPr>
        <w:pStyle w:val="BodyText"/>
      </w:pPr>
      <w:r>
        <w:rPr>
          <w:b/>
        </w:rPr>
        <w:t xml:space="preserve">Figure showing effects of CO2, SO2, NOx</w:t>
      </w:r>
    </w:p>
    <w:p>
      <w:pPr>
        <w:pStyle w:val="Heading3"/>
      </w:pPr>
      <w:bookmarkStart w:id="41" w:name="discussion"/>
      <w:bookmarkEnd w:id="41"/>
      <w:r>
        <w:t xml:space="preserve">Discussion</w:t>
      </w:r>
    </w:p>
    <w:p>
      <w:pPr>
        <w:pStyle w:val="FirstParagraph"/>
      </w:pPr>
      <w:r>
        <w:rPr>
          <w:b/>
        </w:rPr>
        <w:t xml:space="preserve">We present a new method that allows simultaneous consideration of the effects of tree size, objectively determined principle climate drivers, and other environemntal drivers on annual tree growth.</w:t>
      </w:r>
      <w:r>
        <w:t xml:space="preserve"> </w:t>
      </w:r>
      <w:r>
        <w:t xml:space="preserve">Results are broadly consistent with those obtained by traditional methods, but offer several new insights.</w:t>
      </w:r>
    </w:p>
    <w:p>
      <w:pPr>
        <w:pStyle w:val="BodyText"/>
      </w:pPr>
      <w:r>
        <w:t xml:space="preserve">On climate sensitivity:</w:t>
      </w:r>
      <w:r>
        <w:t xml:space="preserve"> </w:t>
      </w:r>
      <w:r>
        <w:t xml:space="preserve">- Climwin step is problematic when cliamte is rapdidly changing</w:t>
      </w:r>
      <w:r>
        <w:t xml:space="preserve"> </w:t>
      </w:r>
      <w:hyperlink r:id="rId36">
        <w:r>
          <w:rPr>
            <w:rStyle w:val="Hyperlink"/>
          </w:rPr>
          <w:t xml:space="preserve">ISSUE #25 in ForestGEO-climate-sensitivity</w:t>
        </w:r>
      </w:hyperlink>
      <w:r>
        <w:t xml:space="preserve">.</w:t>
      </w:r>
    </w:p>
    <w:p>
      <w:pPr>
        <w:pStyle w:val="BodyText"/>
      </w:pPr>
      <w:r>
        <w:t xml:space="preserve">On DBH:</w:t>
      </w:r>
      <w:r>
        <w:t xml:space="preserve"> </w:t>
      </w:r>
      <w:r>
        <w:t xml:space="preserve">First,</w:t>
      </w:r>
      <w:r>
        <w:t xml:space="preserve"> </w:t>
      </w:r>
      <m:oMath>
        <m:r>
          <m:t>Δ</m:t>
        </m:r>
        <m:r>
          <m:t>r</m:t>
        </m:r>
      </m:oMath>
      <w:r>
        <w:t xml:space="preserve"> </w:t>
      </w:r>
      <w:r>
        <w:t xml:space="preserve">typically declines with tree size in cored individuals, consistent with many previous observations from tree-ring records (DENDRO_REFS).</w:t>
      </w:r>
    </w:p>
    <w:p>
      <w:pPr>
        <w:pStyle w:val="BodyText"/>
      </w:pPr>
      <w:r>
        <w:t xml:space="preserve">DBH is not always collected when cores are taken, and is not routinely preserved alongside tree-ring data. For example, the International Tree-Ring Data Bank (ITRDB) contains no structure for storing DBH records.</w:t>
      </w:r>
    </w:p>
    <w:p>
      <w:pPr>
        <w:pStyle w:val="Heading3"/>
      </w:pPr>
      <w:bookmarkStart w:id="42" w:name="acknowledgements"/>
      <w:bookmarkEnd w:id="42"/>
      <w:r>
        <w:t xml:space="preserve">Acknowledgements</w:t>
      </w:r>
    </w:p>
    <w:p>
      <w:pPr>
        <w:pStyle w:val="FirstParagraph"/>
      </w:pPr>
      <w:r>
        <w:t xml:space="preserve">Scholarly Studies</w:t>
      </w:r>
    </w:p>
    <w:p>
      <w:pPr>
        <w:pStyle w:val="Heading3"/>
      </w:pPr>
      <w:bookmarkStart w:id="43" w:name="authors-contributions"/>
      <w:bookmarkEnd w:id="43"/>
      <w:r>
        <w:t xml:space="preserve">Authors’ contributions</w:t>
      </w:r>
    </w:p>
    <w:p>
      <w:pPr>
        <w:pStyle w:val="Heading3"/>
      </w:pPr>
      <w:bookmarkStart w:id="44" w:name="references"/>
      <w:bookmarkEnd w:id="44"/>
      <w:r>
        <w:t xml:space="preserve">References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c3fbce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f67ab12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hyperlink" Id="rId33" Target="https://besjournals.onlinelibrary.wiley.com/doi/full/10.1111/2041-210X.12590" TargetMode="External" /><Relationship Type="http://schemas.openxmlformats.org/officeDocument/2006/relationships/hyperlink" Id="rId27" Target="https://github.com/EcoClimLab/ForestGEO-climate-sensitivity/blob/master/doc/references/Cailleret_et_al-2017-GCB.pdf" TargetMode="External" /><Relationship Type="http://schemas.openxmlformats.org/officeDocument/2006/relationships/hyperlink" Id="rId36" Target="https://github.com/EcoClimLab/ForestGEO-climate-sensitivity/issues/25" TargetMode="External" /><Relationship Type="http://schemas.openxmlformats.org/officeDocument/2006/relationships/hyperlink" Id="rId35" Target="https://github.com/EcoClimLab/ForestGEO-climate-sensitivity/issues/34" TargetMode="External" /><Relationship Type="http://schemas.openxmlformats.org/officeDocument/2006/relationships/hyperlink" Id="rId34" Target="https://github.com/EcoClimLab/ForestGEO-climate-sensitivity/issues/35"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28" Target="https://rdcu.be/b3U3e" TargetMode="External" /><Relationship Type="http://schemas.openxmlformats.org/officeDocument/2006/relationships/hyperlink" Id="rId21"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33" Target="https://besjournals.onlinelibrary.wiley.com/doi/full/10.1111/2041-210X.12590" TargetMode="External" /><Relationship Type="http://schemas.openxmlformats.org/officeDocument/2006/relationships/hyperlink" Id="rId27" Target="https://github.com/EcoClimLab/ForestGEO-climate-sensitivity/blob/master/doc/references/Cailleret_et_al-2017-GCB.pdf" TargetMode="External" /><Relationship Type="http://schemas.openxmlformats.org/officeDocument/2006/relationships/hyperlink" Id="rId36" Target="https://github.com/EcoClimLab/ForestGEO-climate-sensitivity/issues/25" TargetMode="External" /><Relationship Type="http://schemas.openxmlformats.org/officeDocument/2006/relationships/hyperlink" Id="rId35" Target="https://github.com/EcoClimLab/ForestGEO-climate-sensitivity/issues/34" TargetMode="External" /><Relationship Type="http://schemas.openxmlformats.org/officeDocument/2006/relationships/hyperlink" Id="rId34" Target="https://github.com/EcoClimLab/ForestGEO-climate-sensitivity/issues/35"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28" Target="https://rdcu.be/b3U3e" TargetMode="External" /><Relationship Type="http://schemas.openxmlformats.org/officeDocument/2006/relationships/hyperlink" Id="rId21"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2020-06-06T11:12:12Z</dcterms:created>
  <dcterms:modified xsi:type="dcterms:W3CDTF">2020-06-06T11:12:12Z</dcterms:modified>
</cp:coreProperties>
</file>